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ED3" w:rsidRPr="00CE703B" w:rsidRDefault="00FD4BBA" w:rsidP="00CE703B">
      <w:pPr>
        <w:jc w:val="center"/>
        <w:rPr>
          <w:rFonts w:asciiTheme="minorHAnsi" w:hAnsiTheme="minorHAnsi"/>
          <w:sz w:val="28"/>
          <w:szCs w:val="28"/>
        </w:rPr>
      </w:pPr>
      <w:r w:rsidRPr="00CE703B">
        <w:rPr>
          <w:rFonts w:asciiTheme="minorHAnsi" w:eastAsia="Times New Roman" w:hAnsiTheme="minorHAnsi" w:cs="Times New Roman"/>
          <w:color w:val="000000"/>
          <w:sz w:val="28"/>
          <w:szCs w:val="28"/>
        </w:rPr>
        <w:t xml:space="preserve">The Book of </w:t>
      </w:r>
      <w:r w:rsidRPr="00CE703B">
        <w:rPr>
          <w:rFonts w:asciiTheme="minorHAnsi" w:eastAsia="Benguiat Bk BT" w:hAnsiTheme="minorHAnsi" w:cs="Benguiat Bk BT"/>
          <w:color w:val="000000"/>
          <w:sz w:val="28"/>
          <w:szCs w:val="28"/>
        </w:rPr>
        <w:t>Romans</w:t>
      </w:r>
    </w:p>
    <w:p w:rsidR="00E35ED3" w:rsidRPr="00CE703B" w:rsidRDefault="00E35ED3">
      <w:pPr>
        <w:jc w:val="center"/>
        <w:rPr>
          <w:rFonts w:asciiTheme="minorHAnsi" w:eastAsia="Benguiat Bk BT" w:hAnsiTheme="minorHAnsi" w:cs="Benguiat Bk BT"/>
          <w:color w:val="000000"/>
          <w:sz w:val="28"/>
          <w:szCs w:val="28"/>
        </w:rPr>
      </w:pPr>
    </w:p>
    <w:p w:rsidR="00E35ED3" w:rsidRPr="00CE703B" w:rsidRDefault="00FD4BBA">
      <w:pPr>
        <w:jc w:val="center"/>
        <w:rPr>
          <w:rFonts w:asciiTheme="minorHAnsi" w:eastAsia="Benguiat Bk BT" w:hAnsiTheme="minorHAnsi" w:cs="Benguiat Bk BT"/>
          <w:color w:val="000000"/>
          <w:sz w:val="28"/>
          <w:szCs w:val="28"/>
        </w:rPr>
      </w:pPr>
      <w:r w:rsidRPr="00CE703B">
        <w:rPr>
          <w:rFonts w:asciiTheme="minorHAnsi" w:eastAsia="Benguiat Bk BT" w:hAnsiTheme="minorHAnsi" w:cs="Benguiat Bk BT"/>
          <w:color w:val="000000"/>
          <w:sz w:val="28"/>
          <w:szCs w:val="28"/>
        </w:rPr>
        <w:t>A Preface:</w:t>
      </w:r>
    </w:p>
    <w:p w:rsidR="00E35ED3" w:rsidRPr="00CE703B" w:rsidRDefault="00FD4BBA">
      <w:pPr>
        <w:jc w:val="center"/>
        <w:rPr>
          <w:rFonts w:asciiTheme="minorHAnsi" w:eastAsia="Benguiat Bk BT" w:hAnsiTheme="minorHAnsi" w:cs="Benguiat Bk BT"/>
          <w:color w:val="000000"/>
          <w:sz w:val="28"/>
          <w:szCs w:val="28"/>
        </w:rPr>
      </w:pPr>
      <w:r w:rsidRPr="00CE703B">
        <w:rPr>
          <w:rFonts w:asciiTheme="minorHAnsi" w:eastAsia="Benguiat Bk BT" w:hAnsiTheme="minorHAnsi" w:cs="Benguiat Bk BT"/>
          <w:color w:val="000000"/>
          <w:sz w:val="28"/>
          <w:szCs w:val="28"/>
        </w:rPr>
        <w:t>God’s Deepest Mystery</w:t>
      </w:r>
    </w:p>
    <w:p w:rsidR="00E35ED3" w:rsidRPr="00CE703B" w:rsidRDefault="00FD4BBA">
      <w:pPr>
        <w:jc w:val="center"/>
        <w:rPr>
          <w:rFonts w:asciiTheme="minorHAnsi" w:eastAsia="Benguiat Bk BT" w:hAnsiTheme="minorHAnsi" w:cs="Benguiat Bk BT"/>
          <w:color w:val="000000"/>
          <w:sz w:val="28"/>
          <w:szCs w:val="28"/>
        </w:rPr>
      </w:pPr>
      <w:r w:rsidRPr="00CE703B">
        <w:rPr>
          <w:rFonts w:asciiTheme="minorHAnsi" w:eastAsia="Benguiat Bk BT" w:hAnsiTheme="minorHAnsi" w:cs="Benguiat Bk BT"/>
          <w:color w:val="000000"/>
          <w:sz w:val="28"/>
          <w:szCs w:val="28"/>
        </w:rPr>
        <w:t>The World’s Greatest Story</w:t>
      </w:r>
    </w:p>
    <w:p w:rsidR="00E35ED3" w:rsidRPr="00CE703B" w:rsidRDefault="00E35ED3">
      <w:pPr>
        <w:ind w:firstLine="2880"/>
        <w:rPr>
          <w:rFonts w:asciiTheme="minorHAnsi" w:eastAsia="Benguiat Bk BT" w:hAnsiTheme="minorHAnsi" w:cs="Benguiat Bk BT"/>
          <w:color w:val="000000"/>
          <w:sz w:val="22"/>
          <w:szCs w:val="22"/>
        </w:rPr>
      </w:pPr>
    </w:p>
    <w:p w:rsidR="00E35ED3" w:rsidRPr="00CE703B" w:rsidRDefault="00E35ED3">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jc w:val="center"/>
        <w:rPr>
          <w:rFonts w:asciiTheme="minorHAnsi" w:eastAsia="Benguiat Bk BT" w:hAnsiTheme="minorHAnsi" w:cs="Benguiat Bk BT"/>
          <w:b/>
          <w:bCs/>
          <w:i/>
          <w:iCs/>
          <w:color w:val="000000"/>
          <w:sz w:val="22"/>
          <w:szCs w:val="22"/>
        </w:rPr>
      </w:pPr>
    </w:p>
    <w:p w:rsidR="00E35ED3" w:rsidRPr="00CE703B" w:rsidRDefault="00FD4BBA">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jc w:val="center"/>
        <w:rPr>
          <w:rFonts w:asciiTheme="minorHAnsi" w:eastAsia="Benguiat Bk BT" w:hAnsiTheme="minorHAnsi" w:cs="Benguiat Bk BT"/>
          <w:b/>
          <w:bCs/>
          <w:i/>
          <w:iCs/>
          <w:color w:val="000000"/>
        </w:rPr>
      </w:pPr>
      <w:r w:rsidRPr="00CE703B">
        <w:rPr>
          <w:rFonts w:asciiTheme="minorHAnsi" w:eastAsia="Benguiat Bk BT" w:hAnsiTheme="minorHAnsi" w:cs="Benguiat Bk BT"/>
          <w:b/>
          <w:bCs/>
          <w:i/>
          <w:iCs/>
          <w:color w:val="000000"/>
        </w:rPr>
        <w:t>Thinking about the Righteousness of God</w:t>
      </w:r>
    </w:p>
    <w:p w:rsidR="00E35ED3" w:rsidRPr="00CE703B" w:rsidRDefault="00E35ED3">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jc w:val="center"/>
        <w:rPr>
          <w:rFonts w:asciiTheme="minorHAnsi" w:eastAsia="Benguiat Bk BT" w:hAnsiTheme="minorHAnsi" w:cs="Benguiat Bk BT"/>
          <w:b/>
          <w:bCs/>
          <w:i/>
          <w:iCs/>
          <w:color w:val="000000"/>
        </w:rPr>
      </w:pPr>
    </w:p>
    <w:p w:rsidR="00E35ED3" w:rsidRPr="00CE703B" w:rsidRDefault="00FD4BBA">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jc w:val="center"/>
        <w:rPr>
          <w:rFonts w:asciiTheme="minorHAnsi" w:eastAsia="Benguiat Bk BT" w:hAnsiTheme="minorHAnsi" w:cs="Benguiat Bk BT"/>
          <w:b/>
          <w:bCs/>
          <w:color w:val="000000"/>
        </w:rPr>
      </w:pPr>
      <w:r w:rsidRPr="00CE703B">
        <w:rPr>
          <w:rFonts w:asciiTheme="minorHAnsi" w:eastAsia="Benguiat Bk BT" w:hAnsiTheme="minorHAnsi" w:cs="Benguiat Bk BT"/>
          <w:b/>
          <w:bCs/>
          <w:color w:val="000000"/>
        </w:rPr>
        <w:t>Romans 1:16–17 (ESV)</w:t>
      </w:r>
    </w:p>
    <w:p w:rsidR="00E35ED3" w:rsidRPr="00CE703B" w:rsidRDefault="00FD4BBA">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ind w:firstLine="240"/>
        <w:jc w:val="center"/>
        <w:rPr>
          <w:rFonts w:asciiTheme="minorHAnsi" w:hAnsiTheme="minorHAnsi"/>
        </w:rPr>
      </w:pPr>
      <w:r w:rsidRPr="00CE703B">
        <w:rPr>
          <w:rFonts w:asciiTheme="minorHAnsi" w:eastAsia="Benguiat Bk BT" w:hAnsiTheme="minorHAnsi" w:cs="Benguiat Bk BT"/>
          <w:color w:val="000000"/>
          <w:vertAlign w:val="superscript"/>
        </w:rPr>
        <w:t>16</w:t>
      </w:r>
      <w:r w:rsidRPr="00CE703B">
        <w:rPr>
          <w:rFonts w:asciiTheme="minorHAnsi" w:eastAsia="Benguiat Bk BT" w:hAnsiTheme="minorHAnsi" w:cs="Benguiat Bk BT"/>
          <w:color w:val="000000"/>
        </w:rPr>
        <w:t xml:space="preserve">For I am not ashamed of the gospel, for it is the power of God for salvation to everyone who believes, to the Jew first and also to the Greek. </w:t>
      </w:r>
      <w:r w:rsidRPr="00CE703B">
        <w:rPr>
          <w:rFonts w:asciiTheme="minorHAnsi" w:eastAsia="Benguiat Bk BT" w:hAnsiTheme="minorHAnsi" w:cs="Benguiat Bk BT"/>
          <w:color w:val="000000"/>
          <w:vertAlign w:val="superscript"/>
        </w:rPr>
        <w:t>17</w:t>
      </w:r>
      <w:r w:rsidRPr="00CE703B">
        <w:rPr>
          <w:rFonts w:asciiTheme="minorHAnsi" w:eastAsia="Benguiat Bk BT" w:hAnsiTheme="minorHAnsi" w:cs="Benguiat Bk BT"/>
          <w:color w:val="000000"/>
        </w:rPr>
        <w:t>For in it the righteousness of God is revealed from faith for faith, as it is written, “The righteous shall liv</w:t>
      </w:r>
      <w:r w:rsidRPr="00CE703B">
        <w:rPr>
          <w:rFonts w:asciiTheme="minorHAnsi" w:eastAsia="Benguiat Bk BT" w:hAnsiTheme="minorHAnsi" w:cs="Benguiat Bk BT"/>
          <w:color w:val="000000"/>
        </w:rPr>
        <w:t>e by faith.”</w:t>
      </w:r>
    </w:p>
    <w:p w:rsidR="00E35ED3" w:rsidRPr="00CE703B" w:rsidRDefault="00E35ED3">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b/>
          <w:bCs/>
          <w:i/>
          <w:iCs/>
          <w:color w:val="000000"/>
        </w:rPr>
      </w:pPr>
      <w:r w:rsidRPr="00CE703B">
        <w:rPr>
          <w:rFonts w:asciiTheme="minorHAnsi" w:eastAsia="Benguiat Bk BT" w:hAnsiTheme="minorHAnsi" w:cs="Benguiat Bk BT"/>
          <w:b/>
          <w:bCs/>
          <w:i/>
          <w:iCs/>
          <w:color w:val="000000"/>
        </w:rPr>
        <w:t>An icon(</w:t>
      </w:r>
      <w:proofErr w:type="spellStart"/>
      <w:r w:rsidRPr="00CE703B">
        <w:rPr>
          <w:rFonts w:asciiTheme="minorHAnsi" w:eastAsia="Benguiat Bk BT" w:hAnsiTheme="minorHAnsi" w:cs="Benguiat Bk BT"/>
          <w:b/>
          <w:bCs/>
          <w:i/>
          <w:iCs/>
          <w:color w:val="000000"/>
        </w:rPr>
        <w:t>ic</w:t>
      </w:r>
      <w:proofErr w:type="spellEnd"/>
      <w:r w:rsidRPr="00CE703B">
        <w:rPr>
          <w:rFonts w:asciiTheme="minorHAnsi" w:eastAsia="Benguiat Bk BT" w:hAnsiTheme="minorHAnsi" w:cs="Benguiat Bk BT"/>
          <w:b/>
          <w:bCs/>
          <w:i/>
          <w:iCs/>
          <w:color w:val="000000"/>
        </w:rPr>
        <w:t>) question: What is The Thinker thinking?</w:t>
      </w:r>
      <w:r w:rsidR="00CE703B" w:rsidRPr="00CE703B">
        <w:rPr>
          <w:rFonts w:asciiTheme="minorHAnsi" w:eastAsia="Benguiat Bk BT" w:hAnsiTheme="minorHAnsi" w:cs="Benguiat Bk BT"/>
          <w:b/>
          <w:bCs/>
          <w:i/>
          <w:iCs/>
          <w:noProof/>
          <w:color w:val="000000"/>
          <w:lang w:eastAsia="en-US" w:bidi="ar-SA"/>
        </w:rPr>
        <w:drawing>
          <wp:anchor distT="182880" distB="182880" distL="182880" distR="182880" simplePos="0" relativeHeight="251657728" behindDoc="0" locked="0" layoutInCell="1" allowOverlap="1" wp14:anchorId="3A5AC5BA" wp14:editId="47605247">
            <wp:simplePos x="0" y="0"/>
            <wp:positionH relativeFrom="page">
              <wp:posOffset>5448300</wp:posOffset>
            </wp:positionH>
            <wp:positionV relativeFrom="page">
              <wp:posOffset>4127500</wp:posOffset>
            </wp:positionV>
            <wp:extent cx="1408176" cy="1298448"/>
            <wp:effectExtent l="38100" t="38100" r="78105" b="73660"/>
            <wp:wrapSquare wrapText="bothSides"/>
            <wp:docPr id="1" name="Obje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0"/>
                    <pic:cNvPicPr>
                      <a:picLocks noChangeAspect="1" noChangeArrowheads="1"/>
                    </pic:cNvPicPr>
                  </pic:nvPicPr>
                  <pic:blipFill>
                    <a:blip r:embed="rId6"/>
                    <a:stretch>
                      <a:fillRect/>
                    </a:stretch>
                  </pic:blipFill>
                  <pic:spPr bwMode="auto">
                    <a:xfrm>
                      <a:off x="0" y="0"/>
                      <a:ext cx="1408176" cy="1298448"/>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E35ED3" w:rsidRPr="00CE703B" w:rsidRDefault="00CE703B">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hAnsiTheme="minorHAnsi"/>
        </w:rPr>
      </w:pPr>
      <w:r w:rsidRPr="00CE703B">
        <w:rPr>
          <w:rFonts w:asciiTheme="minorHAnsi" w:eastAsia="Benguiat Bk BT" w:hAnsiTheme="minorHAnsi" w:cs="Benguiat Bk BT"/>
          <w:b/>
          <w:bCs/>
          <w:i/>
          <w:iCs/>
          <w:noProof/>
          <w:color w:val="000000"/>
          <w:lang w:eastAsia="en-US" w:bidi="ar-SA"/>
        </w:rPr>
        <w:drawing>
          <wp:anchor distT="274320" distB="274320" distL="274320" distR="274320" simplePos="0" relativeHeight="251667968" behindDoc="0" locked="0" layoutInCell="1" allowOverlap="1" wp14:anchorId="277F681A" wp14:editId="5DC97D78">
            <wp:simplePos x="0" y="0"/>
            <wp:positionH relativeFrom="page">
              <wp:posOffset>673100</wp:posOffset>
            </wp:positionH>
            <wp:positionV relativeFrom="page">
              <wp:posOffset>4737100</wp:posOffset>
            </wp:positionV>
            <wp:extent cx="1377950" cy="1580588"/>
            <wp:effectExtent l="38100" t="38100" r="69850" b="76835"/>
            <wp:wrapSquare wrapText="bothSides"/>
            <wp:docPr id="2" name="Ob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1"/>
                    <pic:cNvPicPr>
                      <a:picLocks noChangeAspect="1" noChangeArrowheads="1"/>
                    </pic:cNvPicPr>
                  </pic:nvPicPr>
                  <pic:blipFill>
                    <a:blip r:embed="rId7"/>
                    <a:stretch>
                      <a:fillRect/>
                    </a:stretch>
                  </pic:blipFill>
                  <pic:spPr bwMode="auto">
                    <a:xfrm>
                      <a:off x="0" y="0"/>
                      <a:ext cx="1380649" cy="158368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D4BBA" w:rsidRPr="00CE703B">
        <w:rPr>
          <w:rFonts w:asciiTheme="minorHAnsi" w:eastAsia="Benguiat Bk BT" w:hAnsiTheme="minorHAnsi" w:cs="Benguiat Bk BT"/>
          <w:b/>
          <w:bCs/>
          <w:i/>
          <w:iCs/>
          <w:color w:val="000000"/>
        </w:rPr>
        <w:t xml:space="preserve">        </w:t>
      </w:r>
      <w:r w:rsidR="00FD4BBA" w:rsidRPr="00CE703B">
        <w:rPr>
          <w:rFonts w:asciiTheme="minorHAnsi" w:eastAsia="Benguiat Bk BT" w:hAnsiTheme="minorHAnsi" w:cs="Benguiat Bk BT"/>
          <w:color w:val="000000"/>
        </w:rPr>
        <w:t>It’s a good questio</w:t>
      </w:r>
      <w:r>
        <w:rPr>
          <w:rFonts w:asciiTheme="minorHAnsi" w:eastAsia="Benguiat Bk BT" w:hAnsiTheme="minorHAnsi" w:cs="Benguiat Bk BT"/>
          <w:color w:val="000000"/>
        </w:rPr>
        <w:t xml:space="preserve">n, and even one we can answer.  </w:t>
      </w:r>
      <w:proofErr w:type="spellStart"/>
      <w:r w:rsidR="00FD4BBA" w:rsidRPr="00CE703B">
        <w:rPr>
          <w:rFonts w:asciiTheme="minorHAnsi" w:eastAsia="Benguiat Bk BT" w:hAnsiTheme="minorHAnsi" w:cs="Benguiat Bk BT"/>
          <w:color w:val="000000"/>
        </w:rPr>
        <w:t>Auguste</w:t>
      </w:r>
      <w:proofErr w:type="spellEnd"/>
      <w:r w:rsidR="00FD4BBA" w:rsidRPr="00CE703B">
        <w:rPr>
          <w:rFonts w:asciiTheme="minorHAnsi" w:eastAsia="Benguiat Bk BT" w:hAnsiTheme="minorHAnsi" w:cs="Benguiat Bk BT"/>
          <w:color w:val="000000"/>
        </w:rPr>
        <w:t xml:space="preserve"> Rodin’s famous bigger-than-life statue was originally a much smaller part of a larger work, a huge</w:t>
      </w:r>
      <w:r w:rsidR="00FD4BBA" w:rsidRPr="00CE703B">
        <w:rPr>
          <w:rFonts w:asciiTheme="minorHAnsi" w:eastAsia="Benguiat Bk BT" w:hAnsiTheme="minorHAnsi" w:cs="Benguiat Bk BT"/>
          <w:color w:val="000000"/>
        </w:rPr>
        <w:t xml:space="preserve"> double door for an ar</w:t>
      </w:r>
      <w:r w:rsidR="00FD4BBA" w:rsidRPr="00CE703B">
        <w:rPr>
          <w:rFonts w:asciiTheme="minorHAnsi" w:eastAsia="Benguiat Bk BT" w:hAnsiTheme="minorHAnsi" w:cs="Benguiat Bk BT"/>
          <w:color w:val="000000"/>
        </w:rPr>
        <w:t xml:space="preserve">t museum which was never built. The door was a bronze casting, “The Gates of Hell,” depicting the Last Judgment, and souls being cast into hell, a scene in the literary work, </w:t>
      </w:r>
      <w:r w:rsidR="00FD4BBA" w:rsidRPr="00CE703B">
        <w:rPr>
          <w:rFonts w:asciiTheme="minorHAnsi" w:eastAsia="Benguiat Bk BT" w:hAnsiTheme="minorHAnsi" w:cs="Benguiat Bk BT"/>
          <w:i/>
          <w:iCs/>
          <w:color w:val="000000"/>
        </w:rPr>
        <w:t xml:space="preserve">Inferno, </w:t>
      </w:r>
      <w:r w:rsidR="00FD4BBA" w:rsidRPr="00CE703B">
        <w:rPr>
          <w:rFonts w:asciiTheme="minorHAnsi" w:eastAsia="Benguiat Bk BT" w:hAnsiTheme="minorHAnsi" w:cs="Benguiat Bk BT"/>
          <w:color w:val="000000"/>
        </w:rPr>
        <w:t>by Dante Alighieri.</w:t>
      </w:r>
      <w:r w:rsidR="00FD4BBA" w:rsidRPr="00CE703B">
        <w:rPr>
          <w:rFonts w:asciiTheme="minorHAnsi" w:eastAsia="Benguiat Bk BT" w:hAnsiTheme="minorHAnsi" w:cs="Benguiat Bk BT"/>
          <w:b/>
          <w:bCs/>
          <w:i/>
          <w:iCs/>
          <w:color w:val="000000"/>
        </w:rPr>
        <w:t xml:space="preserve">   </w:t>
      </w:r>
    </w:p>
    <w:p w:rsidR="00E35ED3" w:rsidRPr="00CE703B" w:rsidRDefault="00E35ED3">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CE703B" w:rsidRDefault="00FD4BBA" w:rsidP="00CE703B">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r w:rsidRPr="00CE703B">
        <w:rPr>
          <w:rFonts w:asciiTheme="minorHAnsi" w:eastAsia="Benguiat Bk BT" w:hAnsiTheme="minorHAnsi" w:cs="Benguiat Bk BT"/>
          <w:color w:val="000000"/>
        </w:rPr>
        <w:t xml:space="preserve">So the short answer to the question is that The Thinker is thinking about the destinies of heaven and hell, and who is going to which.  He is thinking about the most important question we can consider, that is, </w:t>
      </w:r>
      <w:r w:rsidR="00CE703B" w:rsidRPr="00CE703B">
        <w:rPr>
          <w:rFonts w:asciiTheme="minorHAnsi" w:eastAsia="Benguiat Bk BT" w:hAnsiTheme="minorHAnsi" w:cs="Benguiat Bk BT"/>
          <w:color w:val="000000"/>
        </w:rPr>
        <w:t>h</w:t>
      </w:r>
      <w:r w:rsidRPr="00CE703B">
        <w:rPr>
          <w:rFonts w:asciiTheme="minorHAnsi" w:eastAsia="Benguiat Bk BT" w:hAnsiTheme="minorHAnsi" w:cs="Benguiat Bk BT"/>
          <w:color w:val="000000"/>
        </w:rPr>
        <w:t>ow can we participate in eternal joy and esc</w:t>
      </w:r>
      <w:r w:rsidRPr="00CE703B">
        <w:rPr>
          <w:rFonts w:asciiTheme="minorHAnsi" w:eastAsia="Benguiat Bk BT" w:hAnsiTheme="minorHAnsi" w:cs="Benguiat Bk BT"/>
          <w:color w:val="000000"/>
        </w:rPr>
        <w:t xml:space="preserve">ape God’s wrath? </w:t>
      </w:r>
    </w:p>
    <w:p w:rsidR="00CE703B" w:rsidRDefault="00CE703B" w:rsidP="00CE703B">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rsidP="00CE703B">
      <w:pPr>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r w:rsidRPr="00CE703B">
        <w:rPr>
          <w:rFonts w:asciiTheme="minorHAnsi" w:eastAsia="Benguiat Bk BT" w:hAnsiTheme="minorHAnsi" w:cs="Benguiat Bk BT"/>
          <w:color w:val="000000"/>
        </w:rPr>
        <w:t>The New Testament book of Romans tackles that question, and explains the precise “mechanism” or way that God is able to bring sinners to heaven: The Cross of Christ.</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r w:rsidRPr="00CE703B">
        <w:rPr>
          <w:rFonts w:asciiTheme="minorHAnsi" w:eastAsia="Benguiat Bk BT" w:hAnsiTheme="minorHAnsi" w:cs="Benguiat Bk BT"/>
          <w:color w:val="000000"/>
        </w:rPr>
        <w:t>Paul’s letter to the Romans clarifi</w:t>
      </w:r>
      <w:bookmarkStart w:id="0" w:name="_GoBack"/>
      <w:bookmarkEnd w:id="0"/>
      <w:r w:rsidRPr="00CE703B">
        <w:rPr>
          <w:rFonts w:asciiTheme="minorHAnsi" w:eastAsia="Benguiat Bk BT" w:hAnsiTheme="minorHAnsi" w:cs="Benguiat Bk BT"/>
          <w:color w:val="000000"/>
        </w:rPr>
        <w:t>es the issue:</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hAnsiTheme="minorHAnsi"/>
        </w:rPr>
      </w:pPr>
      <w:r w:rsidRPr="00CE703B">
        <w:rPr>
          <w:rFonts w:asciiTheme="minorHAnsi" w:eastAsia="Benguiat Bk BT" w:hAnsiTheme="minorHAnsi" w:cs="Benguiat Bk BT"/>
          <w:b/>
          <w:bCs/>
          <w:color w:val="000000"/>
        </w:rPr>
        <w:t xml:space="preserve">1. </w:t>
      </w:r>
      <w:r w:rsidRPr="00CE703B">
        <w:rPr>
          <w:rFonts w:asciiTheme="minorHAnsi" w:eastAsia="Benguiat Bk BT" w:hAnsiTheme="minorHAnsi" w:cs="Benguiat Bk BT"/>
          <w:b/>
          <w:bCs/>
          <w:i/>
          <w:iCs/>
          <w:color w:val="000000"/>
        </w:rPr>
        <w:t>How can sinners be</w:t>
      </w:r>
      <w:r w:rsidRPr="00CE703B">
        <w:rPr>
          <w:rFonts w:asciiTheme="minorHAnsi" w:eastAsia="Benguiat Bk BT" w:hAnsiTheme="minorHAnsi" w:cs="Benguiat Bk BT"/>
          <w:b/>
          <w:bCs/>
          <w:i/>
          <w:iCs/>
          <w:color w:val="000000"/>
        </w:rPr>
        <w:t xml:space="preserve"> accepted by God?</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r w:rsidRPr="00CE703B">
        <w:rPr>
          <w:rFonts w:asciiTheme="minorHAnsi" w:eastAsia="Benguiat Bk BT" w:hAnsiTheme="minorHAnsi" w:cs="Benguiat Bk BT"/>
          <w:color w:val="000000"/>
        </w:rPr>
        <w:t>God does not grade “on the curve.” The only way to be accepted by God is to be found perfect.  Even one sin or character flaw excludes us from heaven and exposes us to God’s wrath. Romans 1:18-20; 3:9-12</w:t>
      </w:r>
    </w:p>
    <w:p w:rsidR="00BF3ABA" w:rsidRDefault="00BF3A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p>
    <w:p w:rsidR="00BF3ABA" w:rsidRPr="00CE703B" w:rsidRDefault="00BF3A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hAnsiTheme="minorHAnsi"/>
        </w:rPr>
      </w:pPr>
      <w:r w:rsidRPr="00CE703B">
        <w:rPr>
          <w:rFonts w:asciiTheme="minorHAnsi" w:eastAsia="Benguiat Bk BT" w:hAnsiTheme="minorHAnsi" w:cs="Benguiat Bk BT"/>
          <w:b/>
          <w:bCs/>
          <w:color w:val="000000"/>
        </w:rPr>
        <w:lastRenderedPageBreak/>
        <w:t xml:space="preserve">2. </w:t>
      </w:r>
      <w:r w:rsidRPr="00CE703B">
        <w:rPr>
          <w:rFonts w:asciiTheme="minorHAnsi" w:eastAsia="Benguiat Bk BT" w:hAnsiTheme="minorHAnsi" w:cs="Benguiat Bk BT"/>
          <w:b/>
          <w:bCs/>
          <w:i/>
          <w:iCs/>
          <w:color w:val="000000"/>
        </w:rPr>
        <w:t xml:space="preserve">How does mankind (religion) </w:t>
      </w:r>
      <w:r w:rsidRPr="00CE703B">
        <w:rPr>
          <w:rFonts w:asciiTheme="minorHAnsi" w:eastAsia="Benguiat Bk BT" w:hAnsiTheme="minorHAnsi" w:cs="Benguiat Bk BT"/>
          <w:b/>
          <w:bCs/>
          <w:i/>
          <w:iCs/>
          <w:color w:val="000000"/>
        </w:rPr>
        <w:t>answer that question?</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r w:rsidRPr="00CE703B">
        <w:rPr>
          <w:rFonts w:asciiTheme="minorHAnsi" w:eastAsia="Benguiat Bk BT" w:hAnsiTheme="minorHAnsi" w:cs="Benguiat Bk BT"/>
          <w:color w:val="000000"/>
        </w:rPr>
        <w:t xml:space="preserve">Religion deals with sin in two complementary ways, first by downplaying God’s justice in favor of His love, and second, by self-righteousness: comparing himself to greater sinners, and/or soothing his conscience by crafting a system </w:t>
      </w:r>
      <w:r w:rsidRPr="00CE703B">
        <w:rPr>
          <w:rFonts w:asciiTheme="minorHAnsi" w:eastAsia="Benguiat Bk BT" w:hAnsiTheme="minorHAnsi" w:cs="Benguiat Bk BT"/>
          <w:color w:val="000000"/>
        </w:rPr>
        <w:t>of works and sacrifices that he believes balances the scales in his favor. Results: fail. Micah 6:6, 7; Romans 3:19, 20</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b/>
          <w:bCs/>
          <w:i/>
          <w:iCs/>
          <w:color w:val="000000"/>
        </w:rPr>
      </w:pPr>
      <w:r w:rsidRPr="00CE703B">
        <w:rPr>
          <w:rFonts w:asciiTheme="minorHAnsi" w:eastAsia="Benguiat Bk BT" w:hAnsiTheme="minorHAnsi" w:cs="Benguiat Bk BT"/>
          <w:b/>
          <w:bCs/>
          <w:i/>
          <w:iCs/>
          <w:color w:val="000000"/>
        </w:rPr>
        <w:t xml:space="preserve">3. Why is the question “a problem” for a loving God? </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r w:rsidRPr="00CE703B">
        <w:rPr>
          <w:rFonts w:asciiTheme="minorHAnsi" w:eastAsia="Benguiat Bk BT" w:hAnsiTheme="minorHAnsi" w:cs="Benguiat Bk BT"/>
          <w:color w:val="000000"/>
        </w:rPr>
        <w:t>God has no problems.  But God is love.  He also is perfectly just.  So how can a</w:t>
      </w:r>
      <w:r w:rsidRPr="00CE703B">
        <w:rPr>
          <w:rFonts w:asciiTheme="minorHAnsi" w:eastAsia="Benguiat Bk BT" w:hAnsiTheme="minorHAnsi" w:cs="Benguiat Bk BT"/>
          <w:color w:val="000000"/>
        </w:rPr>
        <w:t xml:space="preserve"> just God pour out love upon those who have violated His commandments?  In a word, He can’t.  It just isn’t possible for God to excuse sin in a sinner, no matter how much He may love him. Isa. 6:1-5</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hAnsiTheme="minorHAnsi"/>
        </w:rPr>
      </w:pPr>
      <w:r w:rsidRPr="00CE703B">
        <w:rPr>
          <w:rFonts w:asciiTheme="minorHAnsi" w:eastAsia="Benguiat Bk BT" w:hAnsiTheme="minorHAnsi" w:cs="Benguiat Bk BT"/>
          <w:b/>
          <w:bCs/>
          <w:color w:val="000000"/>
        </w:rPr>
        <w:t>4.</w:t>
      </w:r>
      <w:r w:rsidRPr="00CE703B">
        <w:rPr>
          <w:rFonts w:asciiTheme="minorHAnsi" w:eastAsia="Benguiat Bk BT" w:hAnsiTheme="minorHAnsi" w:cs="Benguiat Bk BT"/>
          <w:b/>
          <w:bCs/>
          <w:i/>
          <w:iCs/>
          <w:color w:val="000000"/>
        </w:rPr>
        <w:t xml:space="preserve"> What does God reveal as a way to wed love and justice</w:t>
      </w:r>
      <w:r w:rsidRPr="00CE703B">
        <w:rPr>
          <w:rFonts w:asciiTheme="minorHAnsi" w:eastAsia="Benguiat Bk BT" w:hAnsiTheme="minorHAnsi" w:cs="Benguiat Bk BT"/>
          <w:b/>
          <w:bCs/>
          <w:i/>
          <w:iCs/>
          <w:color w:val="000000"/>
        </w:rPr>
        <w:t>?</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r w:rsidRPr="00CE703B">
        <w:rPr>
          <w:rFonts w:asciiTheme="minorHAnsi" w:eastAsia="Benguiat Bk BT" w:hAnsiTheme="minorHAnsi" w:cs="Benguiat Bk BT"/>
          <w:color w:val="000000"/>
        </w:rPr>
        <w:t>His righteousness. God reveals that in the Cross, He Himself, in the Person of His Son, dies in the place of the sinner He loves.  That way, His justice is intact, for the sin-debt is paid.  No religion anywhere, at any time, has suggested such a thing.</w:t>
      </w:r>
      <w:r w:rsidRPr="00CE703B">
        <w:rPr>
          <w:rFonts w:asciiTheme="minorHAnsi" w:eastAsia="Benguiat Bk BT" w:hAnsiTheme="minorHAnsi" w:cs="Benguiat Bk BT"/>
          <w:color w:val="000000"/>
        </w:rPr>
        <w:t xml:space="preserve">  Romans 3:21-26 </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hAnsiTheme="minorHAnsi"/>
        </w:rPr>
      </w:pPr>
      <w:r w:rsidRPr="00CE703B">
        <w:rPr>
          <w:rFonts w:asciiTheme="minorHAnsi" w:eastAsia="Benguiat Bk BT" w:hAnsiTheme="minorHAnsi" w:cs="Benguiat Bk BT"/>
          <w:b/>
          <w:bCs/>
          <w:color w:val="000000"/>
        </w:rPr>
        <w:t>5.</w:t>
      </w:r>
      <w:r w:rsidRPr="00CE703B">
        <w:rPr>
          <w:rFonts w:asciiTheme="minorHAnsi" w:eastAsia="Benguiat Bk BT" w:hAnsiTheme="minorHAnsi" w:cs="Benguiat Bk BT"/>
          <w:b/>
          <w:bCs/>
          <w:i/>
          <w:iCs/>
          <w:color w:val="000000"/>
        </w:rPr>
        <w:t xml:space="preserve"> Why is God’s righteousness such “good news”?</w:t>
      </w:r>
    </w:p>
    <w:p w:rsidR="00E35ED3" w:rsidRPr="00CE703B" w:rsidRDefault="00E35ED3">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rPr>
          <w:rFonts w:asciiTheme="minorHAnsi" w:eastAsia="Benguiat Bk BT" w:hAnsiTheme="minorHAnsi" w:cs="Benguiat Bk BT"/>
          <w:b/>
          <w:bCs/>
          <w:i/>
          <w:iCs/>
          <w:color w:val="000000"/>
        </w:rPr>
      </w:pPr>
    </w:p>
    <w:p w:rsidR="00E35ED3" w:rsidRPr="00CE703B" w:rsidRDefault="00FD4BBA">
      <w:pPr>
        <w:tabs>
          <w:tab w:val="left" w:pos="0"/>
          <w:tab w:val="left" w:pos="414"/>
          <w:tab w:val="left" w:pos="1440"/>
          <w:tab w:val="left" w:pos="1800"/>
          <w:tab w:val="left" w:pos="2880"/>
          <w:tab w:val="left" w:pos="3600"/>
          <w:tab w:val="left" w:pos="4320"/>
          <w:tab w:val="left" w:pos="5040"/>
          <w:tab w:val="left" w:pos="5760"/>
          <w:tab w:val="left" w:pos="6480"/>
          <w:tab w:val="left" w:pos="7200"/>
          <w:tab w:val="left" w:pos="7920"/>
          <w:tab w:val="left" w:pos="8639"/>
        </w:tabs>
        <w:ind w:firstLine="414"/>
        <w:rPr>
          <w:rFonts w:asciiTheme="minorHAnsi" w:eastAsia="Benguiat Bk BT" w:hAnsiTheme="minorHAnsi" w:cs="Benguiat Bk BT"/>
          <w:color w:val="000000"/>
        </w:rPr>
      </w:pPr>
      <w:r w:rsidRPr="00CE703B">
        <w:rPr>
          <w:rFonts w:asciiTheme="minorHAnsi" w:eastAsia="Benguiat Bk BT" w:hAnsiTheme="minorHAnsi" w:cs="Benguiat Bk BT"/>
          <w:color w:val="000000"/>
        </w:rPr>
        <w:t>God’s righteousness in the Gospel is good news first, because it is both just and loving, second because it is an eternal, irreversible declaration of forgiveness and righteousness, indepe</w:t>
      </w:r>
      <w:r w:rsidRPr="00CE703B">
        <w:rPr>
          <w:rFonts w:asciiTheme="minorHAnsi" w:eastAsia="Benguiat Bk BT" w:hAnsiTheme="minorHAnsi" w:cs="Benguiat Bk BT"/>
          <w:color w:val="000000"/>
        </w:rPr>
        <w:t>ndent of our works, third, because it rescues us from God’s wrath, fourth, because it is a gift received by faith alone, and fifth, because it is for the joy of all peoples.</w:t>
      </w:r>
    </w:p>
    <w:sectPr w:rsidR="00E35ED3" w:rsidRPr="00CE703B" w:rsidSect="00CE703B">
      <w:pgSz w:w="12240" w:h="15840" w:code="1"/>
      <w:pgMar w:top="1440" w:right="1080" w:bottom="1440" w:left="1080"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BBA" w:rsidRDefault="00FD4BBA">
      <w:r>
        <w:separator/>
      </w:r>
    </w:p>
  </w:endnote>
  <w:endnote w:type="continuationSeparator" w:id="0">
    <w:p w:rsidR="00FD4BBA" w:rsidRDefault="00FD4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AR PL SungtiL GB">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Liberation Sans">
    <w:altName w:val="Arial"/>
    <w:charset w:val="01"/>
    <w:family w:val="swiss"/>
    <w:pitch w:val="variable"/>
  </w:font>
  <w:font w:name="Calibri">
    <w:panose1 w:val="020F0502020204030204"/>
    <w:charset w:val="00"/>
    <w:family w:val="swiss"/>
    <w:pitch w:val="variable"/>
    <w:sig w:usb0="E00002FF" w:usb1="4000ACFF" w:usb2="00000001" w:usb3="00000000" w:csb0="0000019F" w:csb1="00000000"/>
  </w:font>
  <w:font w:name="Benguiat Bk BT">
    <w:altName w:val="Times New Roman"/>
    <w:charset w:val="01"/>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BBA" w:rsidRDefault="00FD4BBA">
      <w:r>
        <w:separator/>
      </w:r>
    </w:p>
  </w:footnote>
  <w:footnote w:type="continuationSeparator" w:id="0">
    <w:p w:rsidR="00FD4BBA" w:rsidRDefault="00FD4B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ED3"/>
    <w:rsid w:val="00BF3ABA"/>
    <w:rsid w:val="00CE703B"/>
    <w:rsid w:val="00E35ED3"/>
    <w:rsid w:val="00FD4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83D7"/>
  <w15:docId w15:val="{5B7F2DC5-82C3-444C-B0E9-48C2F0A7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AR PL SungtiL GB" w:hAnsi="Liberation Serif" w:cs="DejaVu Sans"/>
        <w:sz w:val="24"/>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customStyle="1" w:styleId="Footnoteanchor">
    <w:name w:val="Footnote_anchor"/>
    <w:qFormat/>
    <w:rPr>
      <w:vertAlign w:val="superscript"/>
    </w:rPr>
  </w:style>
  <w:style w:type="character" w:customStyle="1" w:styleId="Endnoteanchor">
    <w:name w:val="Endnote_anchor"/>
    <w:qFormat/>
    <w:rPr>
      <w:vertAlign w:val="superscript"/>
    </w:rPr>
  </w:style>
  <w:style w:type="character" w:customStyle="1" w:styleId="FootnoteCharacters">
    <w:name w:val="Footnote Characters"/>
    <w:qFormat/>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hAnsi="Liberation Sans"/>
      <w:sz w:val="28"/>
      <w:szCs w:val="28"/>
    </w:rPr>
  </w:style>
  <w:style w:type="paragraph" w:customStyle="1" w:styleId="TextBody">
    <w:name w:val="Text Body"/>
    <w:basedOn w:val="Normal"/>
  </w:style>
  <w:style w:type="paragraph" w:styleId="List">
    <w:name w:val="List"/>
    <w:basedOn w:val="TextBody"/>
  </w:style>
  <w:style w:type="paragraph" w:styleId="Caption">
    <w:name w:val="caption"/>
    <w:basedOn w:val="Normal"/>
    <w:qFormat/>
  </w:style>
  <w:style w:type="paragraph" w:customStyle="1" w:styleId="Index">
    <w:name w:val="Index"/>
    <w:basedOn w:val="Normal"/>
    <w:qFormat/>
  </w:style>
  <w:style w:type="paragraph" w:customStyle="1" w:styleId="TableContents">
    <w:name w:val="Table Contents"/>
    <w:basedOn w:val="TextBody"/>
    <w:qFormat/>
  </w:style>
  <w:style w:type="paragraph" w:customStyle="1" w:styleId="TableHeading">
    <w:name w:val="Table Heading"/>
    <w:basedOn w:val="TableContents"/>
    <w:qFormat/>
  </w:style>
  <w:style w:type="paragraph" w:styleId="Header">
    <w:name w:val="header"/>
    <w:basedOn w:val="Normal"/>
  </w:style>
  <w:style w:type="paragraph" w:styleId="Footer">
    <w:name w:val="footer"/>
    <w:basedOn w:val="Normal"/>
  </w:style>
  <w:style w:type="paragraph" w:customStyle="1" w:styleId="Footnote">
    <w:name w:val="Footnote"/>
    <w:basedOn w:val="Normal"/>
  </w:style>
  <w:style w:type="paragraph" w:customStyle="1" w:styleId="Endnote">
    <w:name w:val="Endnote"/>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Korn</dc:creator>
  <cp:lastModifiedBy>Robert Korn</cp:lastModifiedBy>
  <cp:revision>2</cp:revision>
  <dcterms:created xsi:type="dcterms:W3CDTF">2016-01-06T15:11:00Z</dcterms:created>
  <dcterms:modified xsi:type="dcterms:W3CDTF">2016-01-06T15:11:00Z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language>en-US</dc:language>
  <cp:revision>0</cp:revision>
</cp:coreProperties>
</file>